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A944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B86EF0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B86EF0">
        <w:rPr>
          <w:rFonts w:ascii="Times New Roman" w:hAnsi="Times New Roman" w:cs="Times New Roman"/>
          <w:b/>
          <w:sz w:val="24"/>
          <w:szCs w:val="24"/>
        </w:rPr>
        <w:t>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B86EF0">
        <w:rPr>
          <w:rFonts w:ascii="Times New Roman" w:hAnsi="Times New Roman" w:cs="Times New Roman"/>
          <w:b/>
          <w:sz w:val="24"/>
          <w:szCs w:val="24"/>
        </w:rPr>
        <w:t>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правил землепользования и застройки </w:t>
      </w:r>
      <w:r w:rsidR="00B86EF0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A944EB">
        <w:rPr>
          <w:rFonts w:ascii="Times New Roman" w:hAnsi="Times New Roman" w:cs="Times New Roman"/>
          <w:b/>
          <w:sz w:val="24"/>
          <w:szCs w:val="24"/>
        </w:rPr>
        <w:t>округа Архангельской области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r w:rsidR="00A944EB">
        <w:rPr>
          <w:rFonts w:ascii="Times New Roman" w:hAnsi="Times New Roman" w:cs="Times New Roman"/>
          <w:b/>
          <w:sz w:val="24"/>
          <w:szCs w:val="24"/>
        </w:rPr>
        <w:t>Северодвинск</w:t>
      </w:r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9"/>
        <w:gridCol w:w="5475"/>
      </w:tblGrid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475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B86EF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86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EF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A944EB">
              <w:rPr>
                <w:rFonts w:ascii="Times New Roman" w:hAnsi="Times New Roman" w:cs="Times New Roman"/>
                <w:sz w:val="24"/>
                <w:szCs w:val="24"/>
              </w:rPr>
              <w:t xml:space="preserve">округа Архангельской области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6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44EB">
              <w:rPr>
                <w:rFonts w:ascii="Times New Roman" w:hAnsi="Times New Roman" w:cs="Times New Roman"/>
                <w:sz w:val="24"/>
                <w:szCs w:val="24"/>
              </w:rPr>
              <w:t>еверодвинск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землепользования и застройки </w:t>
            </w:r>
            <w:r w:rsidR="00B86EF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A944EB">
              <w:rPr>
                <w:rFonts w:ascii="Times New Roman" w:hAnsi="Times New Roman" w:cs="Times New Roman"/>
                <w:sz w:val="24"/>
                <w:szCs w:val="24"/>
              </w:rPr>
              <w:t>округа Архангельской области</w:t>
            </w:r>
            <w:r w:rsidR="00B86EF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EF0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6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44EB">
              <w:rPr>
                <w:rFonts w:ascii="Times New Roman" w:hAnsi="Times New Roman" w:cs="Times New Roman"/>
                <w:sz w:val="24"/>
                <w:szCs w:val="24"/>
              </w:rPr>
              <w:t>еверодвинск»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475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B86EF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86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14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A944EB">
              <w:rPr>
                <w:rFonts w:ascii="Times New Roman" w:hAnsi="Times New Roman" w:cs="Times New Roman"/>
                <w:sz w:val="24"/>
                <w:szCs w:val="24"/>
              </w:rPr>
              <w:t xml:space="preserve">округа Архангельской области </w:t>
            </w:r>
            <w:r w:rsidR="00A944EB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44E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A944EB" w:rsidRPr="00C43F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60B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231CE6" w:rsidRDefault="00A944EB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>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0B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0B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транспортной инфраструктуры, </w:t>
            </w:r>
            <w:r w:rsidR="00393C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1:50 000;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карта инженерной инфраструктуры и инженерного благоустройства территорий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 xml:space="preserve"> (электроснабжение, газоснабжение, теплоснабжение, связь)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1:50 000;</w:t>
            </w:r>
          </w:p>
          <w:p w:rsidR="00FA07FB" w:rsidRDefault="00FA07FB" w:rsidP="00FA0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5.2) карта инженерной инфраструктуры и инженерного благоустройства территорий (водоснабжение, водоотведение), М 1:50 000;</w:t>
            </w:r>
          </w:p>
          <w:p w:rsidR="00852BD9" w:rsidRDefault="00FA07FB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) карта территорий, подверженных риску возникновения чрезвычайных ситуаций природного и техногенного характера, М 1:50 000.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правил</w:t>
            </w:r>
            <w:r w:rsidR="0098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</w:t>
            </w:r>
            <w:r w:rsidR="00FA07F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7FB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Северодвинск»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 w:rsidR="00E50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1:50 000.</w:t>
            </w:r>
          </w:p>
        </w:tc>
      </w:tr>
      <w:tr w:rsidR="00B560B3" w:rsidRPr="00231CE6" w:rsidTr="001417C6">
        <w:trPr>
          <w:trHeight w:val="376"/>
        </w:trPr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475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475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</w:t>
            </w:r>
            <w:r w:rsidR="00FA07F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7FB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>Северодвинск»</w:t>
            </w:r>
            <w:r w:rsidR="00FA07F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1333C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475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</w:t>
            </w:r>
            <w:r w:rsidR="00FA07F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7FB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>Северодвинск»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475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проекту генеральн</w:t>
            </w:r>
            <w:r w:rsidR="00AB320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AB32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</w:t>
            </w:r>
            <w:r w:rsidR="00FA07F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7FB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генеральн</w:t>
            </w:r>
            <w:r w:rsidR="00AB320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AB32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</w:t>
            </w:r>
            <w:r w:rsidR="00FA07F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7FB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Северодвинск»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07FB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8D5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  <w:r w:rsidR="00AB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B320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AB32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</w:t>
            </w:r>
            <w:r w:rsidR="00FA07F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7FB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Северодвинск»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A07FB"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8D5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правил землепользования и застройки 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</w:t>
            </w:r>
            <w:r w:rsidR="00FA07F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7FB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</w:t>
            </w:r>
            <w:r w:rsidR="00FA07F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7FB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Северодвинск»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A07FB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8D5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AB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</w:t>
            </w:r>
            <w:r w:rsidR="00FA07F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7FB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Северодвинск»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A07FB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8D5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475" w:type="dxa"/>
          </w:tcPr>
          <w:p w:rsidR="009273BC" w:rsidRPr="008F05DB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E50448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060B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320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A07FB" w:rsidRPr="00315D36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Северодвинск, </w:t>
            </w:r>
            <w:r w:rsidR="008F05DB" w:rsidRPr="00315D36">
              <w:rPr>
                <w:rFonts w:ascii="Times New Roman" w:hAnsi="Times New Roman" w:cs="Times New Roman"/>
                <w:sz w:val="24"/>
                <w:szCs w:val="24"/>
              </w:rPr>
              <w:t>ул. Ломоносова, д. 100.</w:t>
            </w:r>
          </w:p>
          <w:p w:rsidR="00DA7BA6" w:rsidRPr="001417C6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от 17 мая 2020 г. № 28-у 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проведения экспозиции допускается по </w:t>
            </w:r>
            <w:r w:rsidR="009273BC" w:rsidRPr="001417C6">
              <w:rPr>
                <w:rFonts w:ascii="Times New Roman" w:hAnsi="Times New Roman" w:cs="Times New Roman"/>
                <w:sz w:val="24"/>
                <w:szCs w:val="24"/>
              </w:rPr>
              <w:t>одному гражданину по предварительной записи по телефон</w:t>
            </w:r>
            <w:r w:rsidR="00315D36">
              <w:rPr>
                <w:rFonts w:ascii="Times New Roman" w:hAnsi="Times New Roman" w:cs="Times New Roman"/>
                <w:sz w:val="24"/>
                <w:szCs w:val="24"/>
              </w:rPr>
              <w:t>ам (8184)54-18-42,</w:t>
            </w:r>
            <w:r w:rsidR="009273BC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(818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F8C" w:rsidRPr="00C43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>58-</w:t>
            </w:r>
            <w:r w:rsidR="008F05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0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0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448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3BC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r w:rsidR="00183D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0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oaig</w:t>
            </w:r>
            <w:r w:rsidR="007F5E62" w:rsidRPr="007F5E62">
              <w:rPr>
                <w:rFonts w:ascii="Times New Roman" w:hAnsi="Times New Roman" w:cs="Times New Roman"/>
                <w:sz w:val="24"/>
                <w:szCs w:val="24"/>
              </w:rPr>
              <w:t>@adm.severodvinsk.ru</w:t>
            </w:r>
            <w:r w:rsidR="009273BC"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, а экспозиция проекта проводится также посредством ее размещения на официальном сайте </w:t>
            </w:r>
            <w:r w:rsidR="00183D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F5E62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</w:t>
            </w:r>
            <w:r w:rsidR="007F5E6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E62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5E62">
              <w:rPr>
                <w:rFonts w:ascii="Times New Roman" w:hAnsi="Times New Roman" w:cs="Times New Roman"/>
                <w:sz w:val="24"/>
                <w:szCs w:val="24"/>
              </w:rPr>
              <w:t>Северодвинск»</w:t>
            </w:r>
            <w:r w:rsidR="00183D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5E62" w:rsidRPr="007F5E62">
              <w:rPr>
                <w:rFonts w:ascii="Times New Roman" w:hAnsi="Times New Roman" w:cs="Times New Roman"/>
                <w:sz w:val="24"/>
                <w:szCs w:val="24"/>
              </w:rPr>
              <w:t>http://www.severodvinsk.info/</w:t>
            </w:r>
            <w:r w:rsidR="0018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1417C6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7F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ноября </w:t>
            </w: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г. </w:t>
            </w:r>
            <w:r w:rsidR="007F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7F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141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7C6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дней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7F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ноября </w:t>
            </w:r>
            <w:r w:rsidR="007F5E62"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C27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декабря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9C4087" w:rsidRPr="009C4087" w:rsidRDefault="009C4087" w:rsidP="009C4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87">
              <w:rPr>
                <w:rFonts w:ascii="Times New Roman" w:hAnsi="Times New Roman" w:cs="Times New Roman"/>
                <w:sz w:val="24"/>
                <w:szCs w:val="24"/>
              </w:rPr>
              <w:t>День проведения консультаций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087">
              <w:rPr>
                <w:rFonts w:ascii="Times New Roman" w:hAnsi="Times New Roman" w:cs="Times New Roman"/>
                <w:sz w:val="24"/>
                <w:szCs w:val="24"/>
              </w:rPr>
              <w:t>организатора общественных обсуждений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0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разработчика проектов: </w:t>
            </w:r>
            <w:r w:rsidR="007F5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ноября </w:t>
            </w:r>
            <w:r w:rsidRPr="009C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г. с </w:t>
            </w:r>
            <w:r w:rsidR="007F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C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до 1</w:t>
            </w:r>
            <w:r w:rsidR="007F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9C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0B3" w:rsidRPr="00231CE6" w:rsidRDefault="00DC2CFA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A">
              <w:rPr>
                <w:rFonts w:ascii="Times New Roman" w:hAnsi="Times New Roman" w:cs="Times New Roman"/>
                <w:sz w:val="24"/>
                <w:szCs w:val="24"/>
              </w:rPr>
              <w:t>Весь период размещения проекта осуществляются консультации представителями организатора общественных обсуждений и (или) разработчика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Pr="00DC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проводятся по телефо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(8182)21-02-11 </w:t>
            </w:r>
            <w:r w:rsidR="004F3BD7">
              <w:rPr>
                <w:rFonts w:ascii="Times New Roman" w:hAnsi="Times New Roman" w:cs="Times New Roman"/>
                <w:sz w:val="24"/>
                <w:szCs w:val="24"/>
              </w:rPr>
              <w:t>или по электронной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Pr="00DC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rccs</w:t>
            </w:r>
            <w:proofErr w:type="spellEnd"/>
            <w:r w:rsidRPr="00DC2CFA">
              <w:rPr>
                <w:rFonts w:ascii="Times New Roman" w:hAnsi="Times New Roman" w:cs="Times New Roman"/>
                <w:sz w:val="24"/>
                <w:szCs w:val="24"/>
              </w:rPr>
              <w:t>29@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F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C2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ноября </w:t>
            </w:r>
            <w:r w:rsidR="00C27B6B" w:rsidRPr="0014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  <w:r w:rsidR="00C27B6B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C27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22 декабря</w:t>
            </w:r>
            <w:r w:rsidR="00C27B6B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="00DA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по рабочим дням с 10.00 до 12.00 и с 14.00 до 16.00.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475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9C408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C40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C27B6B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</w:t>
            </w:r>
            <w:r w:rsidR="00C27B6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6B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7B6B">
              <w:rPr>
                <w:rFonts w:ascii="Times New Roman" w:hAnsi="Times New Roman" w:cs="Times New Roman"/>
                <w:sz w:val="24"/>
                <w:szCs w:val="24"/>
              </w:rPr>
              <w:t>Северодвинск»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9C408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C40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6B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</w:t>
            </w:r>
            <w:r w:rsidR="00C27B6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6B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7B6B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Северодвинск»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C27B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7BA6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DA7BA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 ноября </w:t>
            </w:r>
            <w:r w:rsidR="00DA7BA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г. </w:t>
            </w:r>
            <w:r w:rsidR="00780BFD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C27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декабря</w:t>
            </w:r>
            <w:r w:rsidR="00780BFD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9C408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C40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C27B6B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</w:t>
            </w:r>
            <w:r w:rsidR="00C27B6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6B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7B6B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Северодвинск»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4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D973CF" w:rsidP="00C27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CF">
              <w:rPr>
                <w:rFonts w:ascii="Times New Roman" w:hAnsi="Times New Roman" w:cs="Times New Roman"/>
                <w:sz w:val="24"/>
                <w:szCs w:val="24"/>
              </w:rPr>
              <w:t>- посредством записи в книге (журнале) учета посетителей экспозиции проекта</w:t>
            </w:r>
            <w:r w:rsidR="0031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3CF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C27B6B" w:rsidRPr="00C27B6B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г. Северодвинск, ул. Плюснина, д. 7</w:t>
            </w:r>
            <w:r w:rsidR="009C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1417C6">
        <w:tc>
          <w:tcPr>
            <w:tcW w:w="35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Информация об официальном сайте</w:t>
            </w:r>
            <w:r w:rsidR="00A12440">
              <w:t xml:space="preserve"> </w:t>
            </w:r>
            <w:r w:rsidR="00A12440" w:rsidRPr="00A12440">
              <w:rPr>
                <w:rFonts w:ascii="Times New Roman" w:hAnsi="Times New Roman" w:cs="Times New Roman"/>
                <w:sz w:val="24"/>
                <w:szCs w:val="24"/>
              </w:rPr>
              <w:t>Правительства Архангельской области, официальном сайте муниципального образования или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5475" w:type="dxa"/>
          </w:tcPr>
          <w:p w:rsidR="00B560B3" w:rsidRPr="00D7469A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9C408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C40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C27B6B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</w:t>
            </w:r>
            <w:r w:rsidR="00C27B6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6B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7B6B">
              <w:rPr>
                <w:rFonts w:ascii="Times New Roman" w:hAnsi="Times New Roman" w:cs="Times New Roman"/>
                <w:sz w:val="24"/>
                <w:szCs w:val="24"/>
              </w:rPr>
              <w:t>Северодвинск»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A115A6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74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9C408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C40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 землепользования и </w:t>
            </w:r>
            <w:r w:rsidR="009C4087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</w:t>
            </w:r>
            <w:r w:rsidR="00C27B6B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</w:t>
            </w:r>
            <w:r w:rsidR="00C27B6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6B" w:rsidRPr="00C43F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7B6B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Северодвинск»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40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7B6B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C27B6B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 ноября </w:t>
            </w:r>
            <w:r w:rsidR="00C27B6B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г. по </w:t>
            </w:r>
            <w:r w:rsidR="00C27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декабря</w:t>
            </w:r>
            <w:r w:rsidR="00C27B6B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7B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C27B6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5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1417C6">
        <w:trPr>
          <w:trHeight w:val="77"/>
        </w:trPr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AE7E09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C27B6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1417C6">
        <w:trPr>
          <w:trHeight w:val="77"/>
        </w:trPr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1417C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1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 и фамилия)</w:t>
            </w:r>
          </w:p>
        </w:tc>
      </w:tr>
    </w:tbl>
    <w:p w:rsidR="00FB1BC0" w:rsidRPr="00231CE6" w:rsidRDefault="00FB1BC0" w:rsidP="00141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9B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60B3"/>
    <w:rsid w:val="00022AC5"/>
    <w:rsid w:val="00060B63"/>
    <w:rsid w:val="0006278C"/>
    <w:rsid w:val="00071503"/>
    <w:rsid w:val="000A1C59"/>
    <w:rsid w:val="000E68C6"/>
    <w:rsid w:val="00101DC8"/>
    <w:rsid w:val="0011487C"/>
    <w:rsid w:val="00114ED9"/>
    <w:rsid w:val="001333CD"/>
    <w:rsid w:val="001417C6"/>
    <w:rsid w:val="00160ABC"/>
    <w:rsid w:val="00183D15"/>
    <w:rsid w:val="001B5D93"/>
    <w:rsid w:val="001B7CCC"/>
    <w:rsid w:val="001F31DB"/>
    <w:rsid w:val="001F7AC8"/>
    <w:rsid w:val="00231CE6"/>
    <w:rsid w:val="002D753D"/>
    <w:rsid w:val="002E1F5B"/>
    <w:rsid w:val="00315D36"/>
    <w:rsid w:val="003713B4"/>
    <w:rsid w:val="00393C3F"/>
    <w:rsid w:val="003D6CD4"/>
    <w:rsid w:val="00485DC8"/>
    <w:rsid w:val="004F0A5F"/>
    <w:rsid w:val="004F3BD7"/>
    <w:rsid w:val="0054195D"/>
    <w:rsid w:val="00546999"/>
    <w:rsid w:val="00613952"/>
    <w:rsid w:val="00626036"/>
    <w:rsid w:val="006774EA"/>
    <w:rsid w:val="00694B8D"/>
    <w:rsid w:val="006B5245"/>
    <w:rsid w:val="00711B5B"/>
    <w:rsid w:val="007552ED"/>
    <w:rsid w:val="00780BFD"/>
    <w:rsid w:val="007B486D"/>
    <w:rsid w:val="007F5E62"/>
    <w:rsid w:val="00801238"/>
    <w:rsid w:val="00802299"/>
    <w:rsid w:val="00815F27"/>
    <w:rsid w:val="00852BD9"/>
    <w:rsid w:val="008A69D6"/>
    <w:rsid w:val="008A7B2C"/>
    <w:rsid w:val="008D5C54"/>
    <w:rsid w:val="008E1102"/>
    <w:rsid w:val="008F05DB"/>
    <w:rsid w:val="009273BC"/>
    <w:rsid w:val="00982D29"/>
    <w:rsid w:val="00985147"/>
    <w:rsid w:val="009B1A47"/>
    <w:rsid w:val="009C4087"/>
    <w:rsid w:val="00A115A6"/>
    <w:rsid w:val="00A12440"/>
    <w:rsid w:val="00A60756"/>
    <w:rsid w:val="00A944EB"/>
    <w:rsid w:val="00AB3209"/>
    <w:rsid w:val="00AE7E09"/>
    <w:rsid w:val="00AF112C"/>
    <w:rsid w:val="00B560B3"/>
    <w:rsid w:val="00B70F1C"/>
    <w:rsid w:val="00B86EF0"/>
    <w:rsid w:val="00BE179E"/>
    <w:rsid w:val="00BE21DC"/>
    <w:rsid w:val="00C27B6B"/>
    <w:rsid w:val="00C43F8C"/>
    <w:rsid w:val="00CB47DE"/>
    <w:rsid w:val="00CE7451"/>
    <w:rsid w:val="00D06ECB"/>
    <w:rsid w:val="00D07B11"/>
    <w:rsid w:val="00D7469A"/>
    <w:rsid w:val="00D973CF"/>
    <w:rsid w:val="00DA7BA6"/>
    <w:rsid w:val="00DC2CFA"/>
    <w:rsid w:val="00E116FD"/>
    <w:rsid w:val="00E50448"/>
    <w:rsid w:val="00E65E81"/>
    <w:rsid w:val="00E96C08"/>
    <w:rsid w:val="00F14623"/>
    <w:rsid w:val="00F1791A"/>
    <w:rsid w:val="00F21A3C"/>
    <w:rsid w:val="00F54A07"/>
    <w:rsid w:val="00FA07FB"/>
    <w:rsid w:val="00FB0E35"/>
    <w:rsid w:val="00FB1BC0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stroy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62</cp:revision>
  <dcterms:created xsi:type="dcterms:W3CDTF">2019-05-23T13:57:00Z</dcterms:created>
  <dcterms:modified xsi:type="dcterms:W3CDTF">2020-11-16T08:24:00Z</dcterms:modified>
</cp:coreProperties>
</file>